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252" w:rsidRDefault="004D2252" w:rsidP="004D2252">
      <w:r>
        <w:rPr>
          <w:noProof/>
          <w:lang w:eastAsia="cs-CZ"/>
        </w:rPr>
        <w:drawing>
          <wp:inline distT="0" distB="0" distL="0" distR="0">
            <wp:extent cx="8949055" cy="5909733"/>
            <wp:effectExtent l="19050" t="0" r="23495" b="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FD5703" w:rsidRDefault="00FD5703" w:rsidP="00BF0731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8949055" cy="5909733"/>
            <wp:effectExtent l="19050" t="0" r="23495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p w:rsidR="00FD5703" w:rsidRDefault="00FD5703" w:rsidP="004D2252"/>
    <w:p w:rsidR="004D2252" w:rsidRDefault="004D2252"/>
    <w:sectPr w:rsidR="004D2252" w:rsidSect="00E31E6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914241"/>
    <w:rsid w:val="000D6232"/>
    <w:rsid w:val="000F769D"/>
    <w:rsid w:val="00160968"/>
    <w:rsid w:val="002623A3"/>
    <w:rsid w:val="00274517"/>
    <w:rsid w:val="00382F44"/>
    <w:rsid w:val="004D2252"/>
    <w:rsid w:val="007146A8"/>
    <w:rsid w:val="00826CE3"/>
    <w:rsid w:val="00914241"/>
    <w:rsid w:val="009C0C97"/>
    <w:rsid w:val="00A940D5"/>
    <w:rsid w:val="00BF0731"/>
    <w:rsid w:val="00C82758"/>
    <w:rsid w:val="00C82BB5"/>
    <w:rsid w:val="00D245EC"/>
    <w:rsid w:val="00E0396E"/>
    <w:rsid w:val="00E27B5B"/>
    <w:rsid w:val="00E31E6D"/>
    <w:rsid w:val="00EA6FFE"/>
    <w:rsid w:val="00FD5703"/>
    <w:rsid w:val="00FD7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769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60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09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Průměrný prospěch v 1.pololetí 2024-2025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List1!$B$1</c:f>
              <c:strCache>
                <c:ptCount val="1"/>
                <c:pt idx="0">
                  <c:v>Průměrný prospěch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List1!$A$2:$A$32</c:f>
              <c:strCache>
                <c:ptCount val="31"/>
                <c:pt idx="2">
                  <c:v>K3</c:v>
                </c:pt>
                <c:pt idx="3">
                  <c:v>O3</c:v>
                </c:pt>
                <c:pt idx="4">
                  <c:v>SP1</c:v>
                </c:pt>
                <c:pt idx="5">
                  <c:v>SP2</c:v>
                </c:pt>
                <c:pt idx="6">
                  <c:v>SP3</c:v>
                </c:pt>
                <c:pt idx="7">
                  <c:v>ZP1</c:v>
                </c:pt>
                <c:pt idx="8">
                  <c:v>ZP2</c:v>
                </c:pt>
                <c:pt idx="9">
                  <c:v>ZP3</c:v>
                </c:pt>
                <c:pt idx="10">
                  <c:v>ML1</c:v>
                </c:pt>
                <c:pt idx="11">
                  <c:v>ML2</c:v>
                </c:pt>
                <c:pt idx="12">
                  <c:v>TČ1</c:v>
                </c:pt>
                <c:pt idx="13">
                  <c:v>TČ2</c:v>
                </c:pt>
                <c:pt idx="14">
                  <c:v>TČ3</c:v>
                </c:pt>
                <c:pt idx="15">
                  <c:v>S1</c:v>
                </c:pt>
                <c:pt idx="16">
                  <c:v>S2</c:v>
                </c:pt>
                <c:pt idx="17">
                  <c:v>S3</c:v>
                </c:pt>
                <c:pt idx="18">
                  <c:v>PS1</c:v>
                </c:pt>
                <c:pt idx="19">
                  <c:v>PS2</c:v>
                </c:pt>
                <c:pt idx="20">
                  <c:v>PS3</c:v>
                </c:pt>
                <c:pt idx="21">
                  <c:v>ZV1</c:v>
                </c:pt>
                <c:pt idx="22">
                  <c:v>ZV2</c:v>
                </c:pt>
                <c:pt idx="23">
                  <c:v>PrS1</c:v>
                </c:pt>
                <c:pt idx="24">
                  <c:v>PrS2</c:v>
                </c:pt>
                <c:pt idx="25">
                  <c:v>PJMA</c:v>
                </c:pt>
                <c:pt idx="26">
                  <c:v>PJMB</c:v>
                </c:pt>
                <c:pt idx="27">
                  <c:v>PD1P</c:v>
                </c:pt>
                <c:pt idx="28">
                  <c:v>PD1T</c:v>
                </c:pt>
                <c:pt idx="29">
                  <c:v>PD2P</c:v>
                </c:pt>
                <c:pt idx="30">
                  <c:v>PD2T</c:v>
                </c:pt>
              </c:strCache>
            </c:strRef>
          </c:cat>
          <c:val>
            <c:numRef>
              <c:f>List1!$B$2:$B$32</c:f>
              <c:numCache>
                <c:formatCode>General</c:formatCode>
                <c:ptCount val="31"/>
                <c:pt idx="2" formatCode="0.00">
                  <c:v>2.86</c:v>
                </c:pt>
                <c:pt idx="3" formatCode="0.00">
                  <c:v>2.21</c:v>
                </c:pt>
                <c:pt idx="4" formatCode="0.00">
                  <c:v>2.13</c:v>
                </c:pt>
                <c:pt idx="5" formatCode="0.00">
                  <c:v>1.9100000000000001</c:v>
                </c:pt>
                <c:pt idx="6" formatCode="0.00">
                  <c:v>3</c:v>
                </c:pt>
                <c:pt idx="7" formatCode="0.00">
                  <c:v>2.7</c:v>
                </c:pt>
                <c:pt idx="8" formatCode="0.00">
                  <c:v>2.3499999999999996</c:v>
                </c:pt>
                <c:pt idx="9" formatCode="0.00">
                  <c:v>1.9000000000000001</c:v>
                </c:pt>
                <c:pt idx="10" formatCode="0.00">
                  <c:v>2.73</c:v>
                </c:pt>
                <c:pt idx="11" formatCode="0.00">
                  <c:v>2.64</c:v>
                </c:pt>
                <c:pt idx="12" formatCode="0.00">
                  <c:v>2.9299999999999997</c:v>
                </c:pt>
                <c:pt idx="13" formatCode="0.00">
                  <c:v>1.72</c:v>
                </c:pt>
                <c:pt idx="14" formatCode="0.00">
                  <c:v>2.17</c:v>
                </c:pt>
                <c:pt idx="15" formatCode="0.00">
                  <c:v>2.36</c:v>
                </c:pt>
                <c:pt idx="16" formatCode="0.00">
                  <c:v>1.51</c:v>
                </c:pt>
                <c:pt idx="17" formatCode="0.00">
                  <c:v>2.0099999999999998</c:v>
                </c:pt>
                <c:pt idx="18" formatCode="0.00">
                  <c:v>1.29</c:v>
                </c:pt>
                <c:pt idx="19" formatCode="0.00">
                  <c:v>1.72</c:v>
                </c:pt>
                <c:pt idx="20" formatCode="0.00">
                  <c:v>1.9800000000000002</c:v>
                </c:pt>
                <c:pt idx="21" formatCode="0.00">
                  <c:v>2.38</c:v>
                </c:pt>
                <c:pt idx="22" formatCode="0.00">
                  <c:v>2.5499999999999998</c:v>
                </c:pt>
                <c:pt idx="23" formatCode="0.00">
                  <c:v>3.14</c:v>
                </c:pt>
                <c:pt idx="24" formatCode="0.00">
                  <c:v>1.84</c:v>
                </c:pt>
                <c:pt idx="25" formatCode="0.00">
                  <c:v>3.75</c:v>
                </c:pt>
                <c:pt idx="26" formatCode="0.00">
                  <c:v>3.8499999999999996</c:v>
                </c:pt>
                <c:pt idx="27" formatCode="0.00">
                  <c:v>1.6500000000000001</c:v>
                </c:pt>
                <c:pt idx="28" formatCode="0.00">
                  <c:v>2</c:v>
                </c:pt>
                <c:pt idx="29" formatCode="0.00">
                  <c:v>2.19</c:v>
                </c:pt>
                <c:pt idx="30" formatCode="0.00">
                  <c:v>2.4</c:v>
                </c:pt>
              </c:numCache>
            </c:numRef>
          </c:val>
        </c:ser>
        <c:dLbls>
          <c:showVal val="1"/>
        </c:dLbls>
        <c:gapWidth val="219"/>
        <c:overlap val="-27"/>
        <c:axId val="41143296"/>
        <c:axId val="41149184"/>
      </c:barChart>
      <c:catAx>
        <c:axId val="4114329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1149184"/>
        <c:crosses val="autoZero"/>
        <c:auto val="1"/>
        <c:lblAlgn val="ctr"/>
        <c:lblOffset val="100"/>
      </c:catAx>
      <c:valAx>
        <c:axId val="41149184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11432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Průměrný prospěch v 2.pololetí 2024-2025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List1!$B$1</c:f>
              <c:strCache>
                <c:ptCount val="1"/>
                <c:pt idx="0">
                  <c:v>Průměrný prospěch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List1!$A$2:$A$32</c:f>
              <c:strCache>
                <c:ptCount val="31"/>
                <c:pt idx="2">
                  <c:v>K3</c:v>
                </c:pt>
                <c:pt idx="3">
                  <c:v>O3</c:v>
                </c:pt>
                <c:pt idx="4">
                  <c:v>SP1</c:v>
                </c:pt>
                <c:pt idx="5">
                  <c:v>SP2</c:v>
                </c:pt>
                <c:pt idx="6">
                  <c:v>SP3</c:v>
                </c:pt>
                <c:pt idx="7">
                  <c:v>ZP1</c:v>
                </c:pt>
                <c:pt idx="8">
                  <c:v>ZP2</c:v>
                </c:pt>
                <c:pt idx="9">
                  <c:v>ZP3</c:v>
                </c:pt>
                <c:pt idx="10">
                  <c:v>ML1</c:v>
                </c:pt>
                <c:pt idx="11">
                  <c:v>ML2</c:v>
                </c:pt>
                <c:pt idx="12">
                  <c:v>TČ1</c:v>
                </c:pt>
                <c:pt idx="13">
                  <c:v>TČ2</c:v>
                </c:pt>
                <c:pt idx="14">
                  <c:v>TČ3</c:v>
                </c:pt>
                <c:pt idx="15">
                  <c:v>S1</c:v>
                </c:pt>
                <c:pt idx="16">
                  <c:v>S2</c:v>
                </c:pt>
                <c:pt idx="17">
                  <c:v>S3</c:v>
                </c:pt>
                <c:pt idx="18">
                  <c:v>PS1</c:v>
                </c:pt>
                <c:pt idx="19">
                  <c:v>PS2</c:v>
                </c:pt>
                <c:pt idx="20">
                  <c:v>PS3</c:v>
                </c:pt>
                <c:pt idx="21">
                  <c:v>ZV1</c:v>
                </c:pt>
                <c:pt idx="22">
                  <c:v>ZV2</c:v>
                </c:pt>
                <c:pt idx="23">
                  <c:v>PrS1</c:v>
                </c:pt>
                <c:pt idx="24">
                  <c:v>PrS2</c:v>
                </c:pt>
                <c:pt idx="25">
                  <c:v>PJMA</c:v>
                </c:pt>
                <c:pt idx="26">
                  <c:v>PJMB</c:v>
                </c:pt>
                <c:pt idx="27">
                  <c:v>PD1P</c:v>
                </c:pt>
                <c:pt idx="28">
                  <c:v>PD1T</c:v>
                </c:pt>
                <c:pt idx="29">
                  <c:v>PD2P</c:v>
                </c:pt>
                <c:pt idx="30">
                  <c:v>PD2T</c:v>
                </c:pt>
              </c:strCache>
            </c:strRef>
          </c:cat>
          <c:val>
            <c:numRef>
              <c:f>List1!$B$2:$B$32</c:f>
              <c:numCache>
                <c:formatCode>General</c:formatCode>
                <c:ptCount val="31"/>
                <c:pt idx="2">
                  <c:v>2.8499999999999996</c:v>
                </c:pt>
                <c:pt idx="3" formatCode="0.00">
                  <c:v>1.9800000000000002</c:v>
                </c:pt>
                <c:pt idx="4" formatCode="0.00">
                  <c:v>2.12</c:v>
                </c:pt>
                <c:pt idx="5" formatCode="0.00">
                  <c:v>1.55</c:v>
                </c:pt>
                <c:pt idx="6" formatCode="0.00">
                  <c:v>2.9099999999999997</c:v>
                </c:pt>
                <c:pt idx="7" formatCode="0.00">
                  <c:v>3.1</c:v>
                </c:pt>
                <c:pt idx="8" formatCode="0.00">
                  <c:v>2.15</c:v>
                </c:pt>
                <c:pt idx="9" formatCode="0.00">
                  <c:v>1.9000000000000001</c:v>
                </c:pt>
                <c:pt idx="10" formatCode="0.00">
                  <c:v>3.3899999999999997</c:v>
                </c:pt>
                <c:pt idx="11" formatCode="0.00">
                  <c:v>2.96</c:v>
                </c:pt>
                <c:pt idx="12" formatCode="0.00">
                  <c:v>1.6700000000000002</c:v>
                </c:pt>
                <c:pt idx="13" formatCode="0.00">
                  <c:v>1.61</c:v>
                </c:pt>
                <c:pt idx="14" formatCode="0.00">
                  <c:v>0</c:v>
                </c:pt>
                <c:pt idx="15" formatCode="0.00">
                  <c:v>2.4099999999999997</c:v>
                </c:pt>
                <c:pt idx="16" formatCode="0.00">
                  <c:v>1.6</c:v>
                </c:pt>
                <c:pt idx="17" formatCode="0.00">
                  <c:v>2.23</c:v>
                </c:pt>
                <c:pt idx="18" formatCode="0.00">
                  <c:v>2.46</c:v>
                </c:pt>
                <c:pt idx="19" formatCode="0.00">
                  <c:v>1.31</c:v>
                </c:pt>
                <c:pt idx="20" formatCode="0.00">
                  <c:v>2.56</c:v>
                </c:pt>
                <c:pt idx="21" formatCode="0.00">
                  <c:v>1.8800000000000001</c:v>
                </c:pt>
                <c:pt idx="22" formatCode="0.00">
                  <c:v>1.78</c:v>
                </c:pt>
                <c:pt idx="23" formatCode="0.00">
                  <c:v>2.3699999999999997</c:v>
                </c:pt>
                <c:pt idx="24" formatCode="0.00">
                  <c:v>2</c:v>
                </c:pt>
                <c:pt idx="25" formatCode="0.00">
                  <c:v>3.92</c:v>
                </c:pt>
                <c:pt idx="26" formatCode="0.00">
                  <c:v>4.2</c:v>
                </c:pt>
                <c:pt idx="27" formatCode="0.00">
                  <c:v>1.6600000000000001</c:v>
                </c:pt>
                <c:pt idx="28" formatCode="0.00">
                  <c:v>1.84</c:v>
                </c:pt>
                <c:pt idx="29" formatCode="0.00">
                  <c:v>2.1800000000000002</c:v>
                </c:pt>
                <c:pt idx="30" formatCode="0.00">
                  <c:v>2.4</c:v>
                </c:pt>
              </c:numCache>
            </c:numRef>
          </c:val>
        </c:ser>
        <c:dLbls>
          <c:showVal val="1"/>
        </c:dLbls>
        <c:gapWidth val="219"/>
        <c:overlap val="-27"/>
        <c:axId val="41177856"/>
        <c:axId val="41179392"/>
      </c:barChart>
      <c:catAx>
        <c:axId val="4117785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1179392"/>
        <c:crosses val="autoZero"/>
        <c:auto val="1"/>
        <c:lblAlgn val="ctr"/>
        <c:lblOffset val="100"/>
      </c:catAx>
      <c:valAx>
        <c:axId val="41179392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11778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 Vyvážil</dc:creator>
  <cp:lastModifiedBy>vladislav.vyvazil</cp:lastModifiedBy>
  <cp:revision>12</cp:revision>
  <dcterms:created xsi:type="dcterms:W3CDTF">2021-10-05T05:39:00Z</dcterms:created>
  <dcterms:modified xsi:type="dcterms:W3CDTF">2025-09-30T11:54:00Z</dcterms:modified>
</cp:coreProperties>
</file>